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9D" w:rsidRPr="00457028" w:rsidRDefault="001C409D" w:rsidP="001C409D">
      <w:pPr>
        <w:rPr>
          <w:b/>
        </w:rPr>
      </w:pPr>
      <w:r w:rsidRPr="00457028">
        <w:rPr>
          <w:rFonts w:hint="eastAsia"/>
          <w:b/>
          <w:snapToGrid w:val="0"/>
        </w:rPr>
        <w:t>课程简介：</w:t>
      </w:r>
    </w:p>
    <w:p w:rsidR="001C409D" w:rsidRDefault="001C409D" w:rsidP="001C409D">
      <w:pPr>
        <w:pStyle w:val="H2"/>
        <w:jc w:val="both"/>
        <w:rPr>
          <w:sz w:val="21"/>
          <w:szCs w:val="21"/>
          <w:lang w:val="en-US" w:eastAsia="zh-CN"/>
        </w:rPr>
      </w:pPr>
      <w:r w:rsidRPr="00457028">
        <w:rPr>
          <w:sz w:val="21"/>
          <w:szCs w:val="21"/>
          <w:lang w:val="en-US"/>
        </w:rPr>
        <w:t>Actuarial and Financial Models)</w:t>
      </w:r>
    </w:p>
    <w:p w:rsidR="001C409D" w:rsidRPr="00457028" w:rsidRDefault="001C409D" w:rsidP="001C409D"/>
    <w:p w:rsidR="001C409D" w:rsidRPr="00457028" w:rsidRDefault="001C409D" w:rsidP="001C409D">
      <w:pPr>
        <w:pStyle w:val="1"/>
        <w:jc w:val="both"/>
        <w:rPr>
          <w:sz w:val="21"/>
          <w:szCs w:val="21"/>
          <w:lang w:val="en-US"/>
        </w:rPr>
      </w:pPr>
      <w:r w:rsidRPr="00457028">
        <w:rPr>
          <w:sz w:val="21"/>
          <w:szCs w:val="21"/>
          <w:lang w:val="en-US"/>
        </w:rPr>
        <w:t xml:space="preserve">Professor: </w:t>
      </w:r>
      <w:r w:rsidRPr="00457028">
        <w:rPr>
          <w:b w:val="0"/>
          <w:sz w:val="21"/>
          <w:szCs w:val="21"/>
          <w:lang w:val="en-US"/>
        </w:rPr>
        <w:t>Jan Dhaene</w:t>
      </w:r>
    </w:p>
    <w:p w:rsidR="001C409D" w:rsidRPr="00457028" w:rsidRDefault="001C409D" w:rsidP="001C409D">
      <w:pPr>
        <w:rPr>
          <w:szCs w:val="21"/>
        </w:rPr>
      </w:pPr>
      <w:r w:rsidRPr="00457028">
        <w:rPr>
          <w:szCs w:val="21"/>
          <w:u w:val="single"/>
        </w:rPr>
        <w:t>Email</w:t>
      </w:r>
      <w:r w:rsidRPr="00457028">
        <w:rPr>
          <w:szCs w:val="21"/>
        </w:rPr>
        <w:t xml:space="preserve">: </w:t>
      </w:r>
      <w:hyperlink r:id="rId7" w:history="1">
        <w:r w:rsidRPr="00457028">
          <w:rPr>
            <w:szCs w:val="21"/>
          </w:rPr>
          <w:t>jan.dhaene@kuleuven.be</w:t>
        </w:r>
      </w:hyperlink>
    </w:p>
    <w:p w:rsidR="001C409D" w:rsidRPr="00457028" w:rsidRDefault="001C409D" w:rsidP="001C409D">
      <w:pPr>
        <w:rPr>
          <w:szCs w:val="21"/>
        </w:rPr>
      </w:pPr>
    </w:p>
    <w:p w:rsidR="001C409D" w:rsidRPr="00457028" w:rsidRDefault="001C409D" w:rsidP="001C409D">
      <w:pPr>
        <w:pStyle w:val="H3"/>
        <w:jc w:val="both"/>
        <w:rPr>
          <w:sz w:val="21"/>
          <w:szCs w:val="21"/>
          <w:lang w:val="en-US"/>
        </w:rPr>
      </w:pPr>
      <w:r w:rsidRPr="00457028">
        <w:rPr>
          <w:sz w:val="21"/>
          <w:szCs w:val="21"/>
          <w:u w:val="single"/>
          <w:lang w:val="en-US"/>
        </w:rPr>
        <w:t>Aims</w:t>
      </w:r>
      <w:r w:rsidRPr="00457028">
        <w:rPr>
          <w:sz w:val="21"/>
          <w:szCs w:val="21"/>
          <w:lang w:val="en-US"/>
        </w:rPr>
        <w:t>:</w:t>
      </w:r>
    </w:p>
    <w:p w:rsidR="001C409D" w:rsidRPr="00457028" w:rsidRDefault="001C409D" w:rsidP="001C409D">
      <w:pPr>
        <w:pStyle w:val="2"/>
        <w:rPr>
          <w:sz w:val="21"/>
          <w:szCs w:val="21"/>
          <w:lang w:val="en-US"/>
        </w:rPr>
      </w:pPr>
      <w:r w:rsidRPr="00457028">
        <w:rPr>
          <w:sz w:val="21"/>
          <w:szCs w:val="21"/>
          <w:lang w:val="en-US"/>
        </w:rPr>
        <w:t xml:space="preserve">The purpose of this course is to introduce master and PhD students to some current research topics in actuarial science and/or financial mathematics. After following this course, students should be more familiar with current actuarial and financial research papers. </w:t>
      </w:r>
    </w:p>
    <w:p w:rsidR="001C409D" w:rsidRPr="00457028" w:rsidRDefault="001C409D" w:rsidP="001C409D">
      <w:pPr>
        <w:pStyle w:val="2"/>
        <w:rPr>
          <w:sz w:val="21"/>
          <w:szCs w:val="21"/>
          <w:lang w:val="en-US"/>
        </w:rPr>
      </w:pPr>
    </w:p>
    <w:p w:rsidR="001C409D" w:rsidRPr="00457028" w:rsidRDefault="001C409D" w:rsidP="001C409D">
      <w:pPr>
        <w:pStyle w:val="H3"/>
        <w:keepNext w:val="0"/>
        <w:spacing w:before="0" w:after="0"/>
        <w:jc w:val="both"/>
        <w:outlineLvl w:val="9"/>
        <w:rPr>
          <w:snapToGrid/>
          <w:sz w:val="21"/>
          <w:szCs w:val="21"/>
          <w:lang w:val="en-US"/>
        </w:rPr>
      </w:pPr>
      <w:r w:rsidRPr="00457028">
        <w:rPr>
          <w:snapToGrid/>
          <w:sz w:val="21"/>
          <w:szCs w:val="21"/>
          <w:u w:val="single"/>
          <w:lang w:val="en-US"/>
        </w:rPr>
        <w:t>Prerequisite</w:t>
      </w:r>
      <w:r w:rsidRPr="00457028">
        <w:rPr>
          <w:snapToGrid/>
          <w:sz w:val="21"/>
          <w:szCs w:val="21"/>
          <w:lang w:val="en-US"/>
        </w:rPr>
        <w:t>:</w:t>
      </w:r>
    </w:p>
    <w:p w:rsidR="001C409D" w:rsidRPr="00457028" w:rsidRDefault="001C409D" w:rsidP="001C409D">
      <w:pPr>
        <w:rPr>
          <w:szCs w:val="21"/>
        </w:rPr>
      </w:pPr>
    </w:p>
    <w:p w:rsidR="001C409D" w:rsidRPr="00457028" w:rsidRDefault="001C409D" w:rsidP="001C409D">
      <w:pPr>
        <w:pStyle w:val="2"/>
        <w:rPr>
          <w:sz w:val="21"/>
          <w:szCs w:val="21"/>
          <w:lang w:val="en-US"/>
        </w:rPr>
      </w:pPr>
      <w:r w:rsidRPr="00457028">
        <w:rPr>
          <w:sz w:val="21"/>
          <w:szCs w:val="21"/>
          <w:lang w:val="en-US"/>
        </w:rPr>
        <w:t>Given the quantitative nature of this course, a sound mathematical background and sufficient knowledge of probability theory and calculus is indispensable. Students must at least have mastered the topics, concepts and derivations covered in the following international standard textbooks (or similar textbooks at undergraduate level):</w:t>
      </w:r>
    </w:p>
    <w:p w:rsidR="001C409D" w:rsidRPr="00457028" w:rsidRDefault="001C409D" w:rsidP="001C409D">
      <w:pPr>
        <w:pStyle w:val="2"/>
        <w:rPr>
          <w:sz w:val="21"/>
          <w:szCs w:val="21"/>
          <w:lang w:val="en-US"/>
        </w:rPr>
      </w:pPr>
    </w:p>
    <w:p w:rsidR="001C409D" w:rsidRPr="00457028" w:rsidRDefault="001C409D" w:rsidP="001C409D">
      <w:pPr>
        <w:pStyle w:val="2"/>
        <w:rPr>
          <w:sz w:val="21"/>
          <w:szCs w:val="21"/>
          <w:lang w:val="en-US"/>
        </w:rPr>
      </w:pPr>
      <w:r w:rsidRPr="00457028">
        <w:rPr>
          <w:sz w:val="21"/>
          <w:szCs w:val="21"/>
          <w:lang w:val="en-US"/>
        </w:rPr>
        <w:t>- Ross, S. (2009) A First Course in Probability (8th edition), Prentice Hall.</w:t>
      </w:r>
    </w:p>
    <w:p w:rsidR="001C409D" w:rsidRPr="00457028" w:rsidRDefault="001C409D" w:rsidP="001C409D">
      <w:pPr>
        <w:pStyle w:val="2"/>
        <w:rPr>
          <w:sz w:val="21"/>
          <w:szCs w:val="21"/>
          <w:lang w:val="en-US"/>
        </w:rPr>
      </w:pPr>
    </w:p>
    <w:p w:rsidR="001C409D" w:rsidRPr="00457028" w:rsidRDefault="001C409D" w:rsidP="001C409D">
      <w:pPr>
        <w:pStyle w:val="2"/>
        <w:rPr>
          <w:sz w:val="21"/>
          <w:szCs w:val="21"/>
          <w:lang w:val="en-US"/>
        </w:rPr>
      </w:pPr>
      <w:r w:rsidRPr="00457028">
        <w:rPr>
          <w:sz w:val="21"/>
          <w:szCs w:val="21"/>
          <w:lang w:val="en-US"/>
        </w:rPr>
        <w:t xml:space="preserve">- Barnett, R., Ziegler, M., Byleen, K. (2014). Calculus for Business, Economics, Life Sciences and Social Sciences (13th edition), Pearson. </w:t>
      </w:r>
    </w:p>
    <w:p w:rsidR="001C409D" w:rsidRPr="00457028" w:rsidRDefault="001C409D" w:rsidP="001C409D">
      <w:pPr>
        <w:pStyle w:val="2"/>
        <w:rPr>
          <w:sz w:val="21"/>
          <w:szCs w:val="21"/>
          <w:lang w:val="en-US"/>
        </w:rPr>
      </w:pPr>
    </w:p>
    <w:p w:rsidR="001C409D" w:rsidRPr="00457028" w:rsidRDefault="001C409D" w:rsidP="001C409D">
      <w:pPr>
        <w:pStyle w:val="2"/>
        <w:rPr>
          <w:sz w:val="21"/>
          <w:szCs w:val="21"/>
          <w:lang w:val="en-US"/>
        </w:rPr>
      </w:pPr>
      <w:r w:rsidRPr="00457028">
        <w:rPr>
          <w:sz w:val="21"/>
          <w:szCs w:val="21"/>
          <w:lang w:val="en-US"/>
        </w:rPr>
        <w:t>Furthermore, a profound knowledge of the standard models and techniques of actuarial science and financial mathematics is required.</w:t>
      </w:r>
    </w:p>
    <w:p w:rsidR="001C409D" w:rsidRPr="00457028" w:rsidRDefault="001C409D" w:rsidP="001C409D">
      <w:pPr>
        <w:rPr>
          <w:szCs w:val="21"/>
        </w:rPr>
      </w:pPr>
    </w:p>
    <w:p w:rsidR="001C409D" w:rsidRPr="00457028" w:rsidRDefault="001C409D" w:rsidP="001C409D">
      <w:pPr>
        <w:rPr>
          <w:szCs w:val="21"/>
        </w:rPr>
      </w:pPr>
    </w:p>
    <w:p w:rsidR="001C409D" w:rsidRPr="00457028" w:rsidRDefault="001C409D" w:rsidP="001C409D">
      <w:pPr>
        <w:pStyle w:val="H3"/>
        <w:jc w:val="both"/>
        <w:rPr>
          <w:sz w:val="21"/>
          <w:szCs w:val="21"/>
          <w:lang w:val="en-US"/>
        </w:rPr>
      </w:pPr>
      <w:r w:rsidRPr="00457028">
        <w:rPr>
          <w:sz w:val="21"/>
          <w:szCs w:val="21"/>
          <w:u w:val="single"/>
          <w:lang w:val="en-US"/>
        </w:rPr>
        <w:t>Contents</w:t>
      </w:r>
      <w:r w:rsidRPr="00457028">
        <w:rPr>
          <w:sz w:val="21"/>
          <w:szCs w:val="21"/>
          <w:lang w:val="en-US"/>
        </w:rPr>
        <w:t>:</w:t>
      </w:r>
    </w:p>
    <w:p w:rsidR="001C409D" w:rsidRPr="00457028" w:rsidRDefault="001C409D" w:rsidP="001C409D">
      <w:pPr>
        <w:rPr>
          <w:szCs w:val="21"/>
        </w:rPr>
      </w:pPr>
    </w:p>
    <w:p w:rsidR="001C409D" w:rsidRPr="00457028" w:rsidRDefault="001C409D" w:rsidP="001C409D">
      <w:pPr>
        <w:pStyle w:val="a3"/>
        <w:rPr>
          <w:sz w:val="21"/>
          <w:szCs w:val="21"/>
          <w:lang w:val="en-US"/>
        </w:rPr>
      </w:pPr>
      <w:r w:rsidRPr="00457028">
        <w:rPr>
          <w:sz w:val="21"/>
          <w:szCs w:val="21"/>
          <w:lang w:val="en-US"/>
        </w:rPr>
        <w:t xml:space="preserve">In the last couple of decades </w:t>
      </w:r>
      <w:r w:rsidRPr="00457028">
        <w:rPr>
          <w:color w:val="000000"/>
          <w:sz w:val="21"/>
          <w:szCs w:val="21"/>
          <w:lang w:val="en-US"/>
        </w:rPr>
        <w:t xml:space="preserve">financial and </w:t>
      </w:r>
      <w:r w:rsidRPr="00457028">
        <w:rPr>
          <w:sz w:val="21"/>
          <w:szCs w:val="21"/>
          <w:lang w:val="en-US"/>
        </w:rPr>
        <w:t xml:space="preserve">actuarial research has made an enormous progress. In this course some (overview-) papers on recently developed financial - actuarial models and techniques will be studied. Attention is paid to the underlying assumptions of the models and how to evaluate their applicability in practice. The recently developed techniques and models that will be considered are not only attractive from a theoretical point of view, but they are also effective in solving finance and insurance problems occurring in the daily practice. </w:t>
      </w:r>
    </w:p>
    <w:p w:rsidR="001C409D" w:rsidRPr="00457028" w:rsidRDefault="001C409D" w:rsidP="001C409D">
      <w:pPr>
        <w:rPr>
          <w:szCs w:val="21"/>
        </w:rPr>
      </w:pPr>
    </w:p>
    <w:p w:rsidR="001C409D" w:rsidRPr="00457028" w:rsidRDefault="001C409D" w:rsidP="001C409D">
      <w:pPr>
        <w:rPr>
          <w:szCs w:val="21"/>
        </w:rPr>
      </w:pPr>
      <w:r w:rsidRPr="00457028">
        <w:rPr>
          <w:szCs w:val="21"/>
        </w:rPr>
        <w:t xml:space="preserve">Possible research topics: </w:t>
      </w:r>
    </w:p>
    <w:p w:rsidR="001C409D" w:rsidRPr="00457028" w:rsidRDefault="001C409D" w:rsidP="001C409D">
      <w:pPr>
        <w:widowControl/>
        <w:numPr>
          <w:ilvl w:val="0"/>
          <w:numId w:val="1"/>
        </w:numPr>
        <w:rPr>
          <w:szCs w:val="21"/>
        </w:rPr>
      </w:pPr>
      <w:r w:rsidRPr="00457028">
        <w:rPr>
          <w:szCs w:val="21"/>
        </w:rPr>
        <w:t>Risk measurement,</w:t>
      </w:r>
    </w:p>
    <w:p w:rsidR="001C409D" w:rsidRPr="00457028" w:rsidRDefault="001C409D" w:rsidP="001C409D">
      <w:pPr>
        <w:widowControl/>
        <w:numPr>
          <w:ilvl w:val="0"/>
          <w:numId w:val="1"/>
        </w:numPr>
        <w:rPr>
          <w:szCs w:val="21"/>
        </w:rPr>
      </w:pPr>
      <w:r w:rsidRPr="00457028">
        <w:rPr>
          <w:szCs w:val="21"/>
        </w:rPr>
        <w:t>Optimal portfolio selection,</w:t>
      </w:r>
    </w:p>
    <w:p w:rsidR="001C409D" w:rsidRPr="00457028" w:rsidRDefault="001C409D" w:rsidP="001C409D">
      <w:pPr>
        <w:widowControl/>
        <w:numPr>
          <w:ilvl w:val="0"/>
          <w:numId w:val="1"/>
        </w:numPr>
        <w:rPr>
          <w:szCs w:val="21"/>
        </w:rPr>
      </w:pPr>
      <w:r w:rsidRPr="00457028">
        <w:rPr>
          <w:szCs w:val="21"/>
        </w:rPr>
        <w:t>Capital allocation,</w:t>
      </w:r>
    </w:p>
    <w:p w:rsidR="001C409D" w:rsidRPr="00457028" w:rsidRDefault="001C409D" w:rsidP="001C409D">
      <w:pPr>
        <w:widowControl/>
        <w:numPr>
          <w:ilvl w:val="0"/>
          <w:numId w:val="1"/>
        </w:numPr>
        <w:rPr>
          <w:szCs w:val="21"/>
        </w:rPr>
      </w:pPr>
      <w:r w:rsidRPr="00457028">
        <w:rPr>
          <w:szCs w:val="21"/>
        </w:rPr>
        <w:t>Market consistent valuation of insurance liabilities,</w:t>
      </w:r>
    </w:p>
    <w:p w:rsidR="001C409D" w:rsidRPr="00457028" w:rsidRDefault="001C409D" w:rsidP="001C409D">
      <w:pPr>
        <w:widowControl/>
        <w:numPr>
          <w:ilvl w:val="0"/>
          <w:numId w:val="1"/>
        </w:numPr>
        <w:rPr>
          <w:szCs w:val="21"/>
        </w:rPr>
      </w:pPr>
      <w:r w:rsidRPr="00457028">
        <w:rPr>
          <w:szCs w:val="21"/>
        </w:rPr>
        <w:t>Model-free approaches to option pricing and hedging,</w:t>
      </w:r>
    </w:p>
    <w:p w:rsidR="001C409D" w:rsidRPr="00457028" w:rsidRDefault="001C409D" w:rsidP="001C409D">
      <w:pPr>
        <w:widowControl/>
        <w:numPr>
          <w:ilvl w:val="0"/>
          <w:numId w:val="1"/>
        </w:numPr>
        <w:rPr>
          <w:szCs w:val="21"/>
        </w:rPr>
      </w:pPr>
      <w:r w:rsidRPr="00457028">
        <w:rPr>
          <w:szCs w:val="21"/>
        </w:rPr>
        <w:t>Measuring systemic risk in financial markets..</w:t>
      </w:r>
    </w:p>
    <w:p w:rsidR="001C409D" w:rsidRPr="00457028" w:rsidRDefault="001C409D" w:rsidP="001C409D">
      <w:pPr>
        <w:rPr>
          <w:szCs w:val="21"/>
        </w:rPr>
      </w:pPr>
    </w:p>
    <w:p w:rsidR="001C409D" w:rsidRPr="00457028" w:rsidRDefault="001C409D" w:rsidP="001C409D">
      <w:pPr>
        <w:pStyle w:val="H3"/>
        <w:jc w:val="both"/>
        <w:rPr>
          <w:sz w:val="21"/>
          <w:szCs w:val="21"/>
          <w:lang w:val="en-US"/>
        </w:rPr>
      </w:pPr>
      <w:r w:rsidRPr="00457028">
        <w:rPr>
          <w:sz w:val="21"/>
          <w:szCs w:val="21"/>
          <w:u w:val="single"/>
          <w:lang w:val="en-US"/>
        </w:rPr>
        <w:lastRenderedPageBreak/>
        <w:t>Teaching activities</w:t>
      </w:r>
      <w:r w:rsidRPr="00457028">
        <w:rPr>
          <w:sz w:val="21"/>
          <w:szCs w:val="21"/>
          <w:lang w:val="en-US"/>
        </w:rPr>
        <w:t>:</w:t>
      </w:r>
    </w:p>
    <w:p w:rsidR="001C409D" w:rsidRPr="00457028" w:rsidRDefault="001C409D" w:rsidP="001C409D">
      <w:pPr>
        <w:rPr>
          <w:szCs w:val="21"/>
        </w:rPr>
      </w:pPr>
    </w:p>
    <w:p w:rsidR="001C409D" w:rsidRPr="00457028" w:rsidRDefault="001C409D" w:rsidP="001C409D">
      <w:pPr>
        <w:rPr>
          <w:szCs w:val="21"/>
        </w:rPr>
      </w:pPr>
      <w:r w:rsidRPr="00457028">
        <w:rPr>
          <w:szCs w:val="21"/>
        </w:rPr>
        <w:t xml:space="preserve">10 lectures of 3 hours. </w:t>
      </w:r>
    </w:p>
    <w:p w:rsidR="001C409D" w:rsidRPr="00457028" w:rsidRDefault="001C409D" w:rsidP="001C409D">
      <w:pPr>
        <w:rPr>
          <w:szCs w:val="21"/>
        </w:rPr>
      </w:pPr>
    </w:p>
    <w:p w:rsidR="001C409D" w:rsidRPr="00457028" w:rsidRDefault="001C409D" w:rsidP="001C409D">
      <w:pPr>
        <w:rPr>
          <w:szCs w:val="21"/>
        </w:rPr>
      </w:pPr>
    </w:p>
    <w:p w:rsidR="001C409D" w:rsidRPr="00457028" w:rsidRDefault="001C409D" w:rsidP="001C409D">
      <w:pPr>
        <w:pStyle w:val="2"/>
        <w:rPr>
          <w:sz w:val="21"/>
          <w:szCs w:val="21"/>
          <w:lang w:val="en-US"/>
        </w:rPr>
      </w:pPr>
    </w:p>
    <w:p w:rsidR="001C409D" w:rsidRPr="00457028" w:rsidRDefault="001C409D" w:rsidP="001C409D">
      <w:pPr>
        <w:pStyle w:val="H3"/>
        <w:jc w:val="both"/>
        <w:rPr>
          <w:sz w:val="21"/>
          <w:szCs w:val="21"/>
          <w:lang w:val="en-US"/>
        </w:rPr>
      </w:pPr>
      <w:r w:rsidRPr="00457028">
        <w:rPr>
          <w:sz w:val="21"/>
          <w:szCs w:val="21"/>
          <w:u w:val="single"/>
          <w:lang w:val="en-US"/>
        </w:rPr>
        <w:t>Course Material</w:t>
      </w:r>
      <w:r w:rsidRPr="00457028">
        <w:rPr>
          <w:sz w:val="21"/>
          <w:szCs w:val="21"/>
          <w:lang w:val="en-US"/>
        </w:rPr>
        <w:t>:</w:t>
      </w:r>
    </w:p>
    <w:p w:rsidR="001C409D" w:rsidRPr="00457028" w:rsidRDefault="001C409D" w:rsidP="001C409D">
      <w:pPr>
        <w:rPr>
          <w:szCs w:val="21"/>
        </w:rPr>
      </w:pPr>
      <w:r w:rsidRPr="00457028">
        <w:rPr>
          <w:szCs w:val="21"/>
        </w:rPr>
        <w:t>A (non-exclusive list) of possible actuarial-financial (overview) papers:</w:t>
      </w:r>
    </w:p>
    <w:p w:rsidR="001C409D" w:rsidRPr="00457028" w:rsidRDefault="001C409D" w:rsidP="001C409D">
      <w:pPr>
        <w:rPr>
          <w:szCs w:val="21"/>
        </w:rPr>
      </w:pPr>
    </w:p>
    <w:p w:rsidR="001C409D" w:rsidRPr="00457028" w:rsidRDefault="001C409D" w:rsidP="001C409D">
      <w:pPr>
        <w:rPr>
          <w:szCs w:val="21"/>
        </w:rPr>
      </w:pPr>
      <w:r w:rsidRPr="00457028">
        <w:rPr>
          <w:szCs w:val="21"/>
        </w:rPr>
        <w:t xml:space="preserve">- </w:t>
      </w:r>
      <w:r w:rsidRPr="00457028">
        <w:rPr>
          <w:i/>
          <w:szCs w:val="21"/>
        </w:rPr>
        <w:t>The concept of comonotonicity in actuarial science and finance: theory.</w:t>
      </w:r>
      <w:r w:rsidRPr="00457028">
        <w:rPr>
          <w:szCs w:val="21"/>
        </w:rPr>
        <w:t xml:space="preserve"> </w:t>
      </w:r>
    </w:p>
    <w:p w:rsidR="001C409D" w:rsidRPr="00457028" w:rsidRDefault="001C409D" w:rsidP="001C409D">
      <w:pPr>
        <w:rPr>
          <w:szCs w:val="21"/>
        </w:rPr>
      </w:pPr>
      <w:r w:rsidRPr="00457028">
        <w:rPr>
          <w:szCs w:val="21"/>
        </w:rPr>
        <w:t>J. Dhaene, M. Denuit, M.J. Goovaerts, R. Kaas &amp; D. Vyncke (2002). Insurance: Mathematics &amp; Economics, 31 (1), 3-33.</w:t>
      </w:r>
    </w:p>
    <w:p w:rsidR="001C409D" w:rsidRPr="00457028" w:rsidRDefault="001C409D" w:rsidP="001C409D">
      <w:pPr>
        <w:rPr>
          <w:szCs w:val="21"/>
        </w:rPr>
      </w:pPr>
      <w:r w:rsidRPr="00457028">
        <w:rPr>
          <w:szCs w:val="21"/>
        </w:rPr>
        <w:t xml:space="preserve">- </w:t>
      </w:r>
      <w:r w:rsidRPr="00457028">
        <w:rPr>
          <w:i/>
          <w:szCs w:val="21"/>
        </w:rPr>
        <w:t>The concept of comonotonicity in actuarial science and finance: applications</w:t>
      </w:r>
      <w:r w:rsidRPr="00457028">
        <w:rPr>
          <w:szCs w:val="21"/>
        </w:rPr>
        <w:t xml:space="preserve">. </w:t>
      </w:r>
    </w:p>
    <w:p w:rsidR="001C409D" w:rsidRPr="00457028" w:rsidRDefault="001C409D" w:rsidP="001C409D">
      <w:pPr>
        <w:rPr>
          <w:szCs w:val="21"/>
        </w:rPr>
      </w:pPr>
      <w:r w:rsidRPr="00457028">
        <w:rPr>
          <w:szCs w:val="21"/>
        </w:rPr>
        <w:t>J. Dhaene, M. Denuit, M.J. Goovaerts, R. Kaas &amp; D. Vyncke (2002).  Insurance: Mathematics &amp; Economics, 31 (2), 133-161.</w:t>
      </w:r>
    </w:p>
    <w:p w:rsidR="001C409D" w:rsidRPr="00457028" w:rsidRDefault="001C409D" w:rsidP="001C409D">
      <w:pPr>
        <w:rPr>
          <w:szCs w:val="21"/>
        </w:rPr>
      </w:pPr>
      <w:r w:rsidRPr="00457028">
        <w:rPr>
          <w:i/>
          <w:szCs w:val="21"/>
        </w:rPr>
        <w:t>- Risk measures and comonotonicity: a review</w:t>
      </w:r>
      <w:r w:rsidRPr="00457028">
        <w:rPr>
          <w:szCs w:val="21"/>
        </w:rPr>
        <w:t xml:space="preserve">. </w:t>
      </w:r>
    </w:p>
    <w:p w:rsidR="001C409D" w:rsidRPr="00457028" w:rsidRDefault="001C409D" w:rsidP="001C409D">
      <w:pPr>
        <w:rPr>
          <w:szCs w:val="21"/>
        </w:rPr>
      </w:pPr>
      <w:r w:rsidRPr="00457028">
        <w:rPr>
          <w:szCs w:val="21"/>
        </w:rPr>
        <w:t>J. Dhaene, S. Vanduffel, M. Goovaerts, R. Kaas, D. Vyncke &amp; Q.Tang. (2006). Stochastic Models, 22, 573-606.</w:t>
      </w:r>
    </w:p>
    <w:p w:rsidR="001C409D" w:rsidRPr="00457028" w:rsidRDefault="001C409D" w:rsidP="001C409D">
      <w:pPr>
        <w:rPr>
          <w:szCs w:val="21"/>
        </w:rPr>
      </w:pPr>
      <w:r w:rsidRPr="00457028">
        <w:rPr>
          <w:szCs w:val="21"/>
        </w:rPr>
        <w:t xml:space="preserve">- </w:t>
      </w:r>
      <w:r w:rsidRPr="00457028">
        <w:rPr>
          <w:i/>
          <w:szCs w:val="21"/>
        </w:rPr>
        <w:t>Optimal capital allocation principles</w:t>
      </w:r>
      <w:r w:rsidRPr="00457028">
        <w:rPr>
          <w:szCs w:val="21"/>
        </w:rPr>
        <w:t xml:space="preserve">. </w:t>
      </w:r>
    </w:p>
    <w:p w:rsidR="001C409D" w:rsidRPr="00457028" w:rsidRDefault="001C409D" w:rsidP="001C409D">
      <w:pPr>
        <w:rPr>
          <w:szCs w:val="21"/>
        </w:rPr>
      </w:pPr>
      <w:r w:rsidRPr="00457028">
        <w:rPr>
          <w:szCs w:val="21"/>
        </w:rPr>
        <w:t>J. Dhaene, A. Tsanakas, E. Valdez &amp; S. Vanduffel (2012). Journal of Risk and Insurance, 79(1), 1-28.</w:t>
      </w:r>
    </w:p>
    <w:p w:rsidR="001C409D" w:rsidRPr="00457028" w:rsidRDefault="001C409D" w:rsidP="001C409D">
      <w:pPr>
        <w:rPr>
          <w:szCs w:val="21"/>
        </w:rPr>
      </w:pPr>
      <w:r w:rsidRPr="00457028">
        <w:rPr>
          <w:szCs w:val="21"/>
        </w:rPr>
        <w:t xml:space="preserve">- </w:t>
      </w:r>
      <w:r w:rsidRPr="00457028">
        <w:rPr>
          <w:i/>
          <w:szCs w:val="21"/>
        </w:rPr>
        <w:t>Index options: a model-free approach</w:t>
      </w:r>
      <w:r w:rsidRPr="00457028">
        <w:rPr>
          <w:szCs w:val="21"/>
        </w:rPr>
        <w:t xml:space="preserve">. </w:t>
      </w:r>
    </w:p>
    <w:p w:rsidR="001C409D" w:rsidRPr="00457028" w:rsidRDefault="001C409D" w:rsidP="001C409D">
      <w:pPr>
        <w:rPr>
          <w:szCs w:val="21"/>
        </w:rPr>
      </w:pPr>
      <w:r w:rsidRPr="00457028">
        <w:rPr>
          <w:szCs w:val="21"/>
        </w:rPr>
        <w:t>D. Linders, J. Dhaene, H. Hounnon &amp; M. Vanmaele (2012). Research report AFI-1265, FEB, KU Leuven.</w:t>
      </w:r>
    </w:p>
    <w:p w:rsidR="001C409D" w:rsidRPr="00457028" w:rsidRDefault="001C409D" w:rsidP="001C409D">
      <w:pPr>
        <w:rPr>
          <w:szCs w:val="21"/>
        </w:rPr>
      </w:pPr>
      <w:r w:rsidRPr="00457028">
        <w:rPr>
          <w:szCs w:val="21"/>
        </w:rPr>
        <w:t xml:space="preserve">- </w:t>
      </w:r>
      <w:r w:rsidRPr="00457028">
        <w:rPr>
          <w:i/>
          <w:szCs w:val="21"/>
        </w:rPr>
        <w:t>The multivariate Black &amp; Scholes market: conditions for completeness and no-arbitrage</w:t>
      </w:r>
      <w:r w:rsidRPr="00457028">
        <w:rPr>
          <w:szCs w:val="21"/>
        </w:rPr>
        <w:t xml:space="preserve">. </w:t>
      </w:r>
    </w:p>
    <w:p w:rsidR="001C409D" w:rsidRPr="00457028" w:rsidRDefault="001C409D" w:rsidP="001C409D">
      <w:pPr>
        <w:rPr>
          <w:szCs w:val="21"/>
        </w:rPr>
      </w:pPr>
      <w:r w:rsidRPr="00457028">
        <w:rPr>
          <w:szCs w:val="21"/>
          <w:lang w:val="de-DE"/>
        </w:rPr>
        <w:t xml:space="preserve">J. Dhaene, A. Kukush &amp; D. Linders (2013). </w:t>
      </w:r>
      <w:r w:rsidRPr="00457028">
        <w:rPr>
          <w:szCs w:val="21"/>
        </w:rPr>
        <w:t>Theory of Probability and Mathematical Statistics, No. 88, 2013, 1-14.</w:t>
      </w:r>
    </w:p>
    <w:p w:rsidR="001C409D" w:rsidRPr="00457028" w:rsidRDefault="001C409D" w:rsidP="001C409D">
      <w:pPr>
        <w:rPr>
          <w:szCs w:val="21"/>
        </w:rPr>
      </w:pPr>
      <w:r w:rsidRPr="00457028">
        <w:rPr>
          <w:szCs w:val="21"/>
        </w:rPr>
        <w:t xml:space="preserve">- </w:t>
      </w:r>
      <w:r w:rsidRPr="00457028">
        <w:rPr>
          <w:i/>
          <w:szCs w:val="21"/>
        </w:rPr>
        <w:t>On the (in-)dependence between financial and actuarial risks</w:t>
      </w:r>
      <w:r w:rsidRPr="00457028">
        <w:rPr>
          <w:szCs w:val="21"/>
        </w:rPr>
        <w:t xml:space="preserve">. </w:t>
      </w:r>
    </w:p>
    <w:p w:rsidR="001C409D" w:rsidRPr="00457028" w:rsidRDefault="001C409D" w:rsidP="001C409D">
      <w:pPr>
        <w:rPr>
          <w:szCs w:val="21"/>
        </w:rPr>
      </w:pPr>
      <w:r w:rsidRPr="00457028">
        <w:rPr>
          <w:szCs w:val="21"/>
        </w:rPr>
        <w:t>J. Dhaene, A. Kukush, E. Luciano, W. Schoutens &amp; B. Stassen (2013). Insurance: Mathematics and Economics, 52(3), 522-531.</w:t>
      </w:r>
    </w:p>
    <w:p w:rsidR="001C409D" w:rsidRPr="00457028" w:rsidRDefault="001C409D" w:rsidP="001C409D">
      <w:pPr>
        <w:rPr>
          <w:szCs w:val="21"/>
        </w:rPr>
      </w:pPr>
      <w:r w:rsidRPr="00457028">
        <w:rPr>
          <w:szCs w:val="21"/>
        </w:rPr>
        <w:t xml:space="preserve">- </w:t>
      </w:r>
      <w:r w:rsidRPr="00457028">
        <w:rPr>
          <w:i/>
          <w:szCs w:val="21"/>
        </w:rPr>
        <w:t>Option prices and model-free measurement of implied herd behavior in stock markets</w:t>
      </w:r>
      <w:r w:rsidRPr="00457028">
        <w:rPr>
          <w:szCs w:val="21"/>
        </w:rPr>
        <w:t xml:space="preserve">. </w:t>
      </w:r>
    </w:p>
    <w:p w:rsidR="001C409D" w:rsidRPr="00457028" w:rsidRDefault="001C409D" w:rsidP="001C409D">
      <w:pPr>
        <w:rPr>
          <w:szCs w:val="21"/>
        </w:rPr>
      </w:pPr>
      <w:r w:rsidRPr="00457028">
        <w:rPr>
          <w:szCs w:val="21"/>
        </w:rPr>
        <w:t>D. Linders, J. Dhaene &amp; W. Schoutens (2015). Research report AFI-1597 FEB, KU Leuven.</w:t>
      </w:r>
    </w:p>
    <w:p w:rsidR="001C409D" w:rsidRPr="00457028" w:rsidRDefault="001C409D" w:rsidP="001C409D">
      <w:pPr>
        <w:rPr>
          <w:szCs w:val="21"/>
        </w:rPr>
      </w:pPr>
      <w:r w:rsidRPr="00457028">
        <w:rPr>
          <w:szCs w:val="21"/>
        </w:rPr>
        <w:t>- Market-consistent valuation of insurance liabilities.</w:t>
      </w:r>
    </w:p>
    <w:p w:rsidR="001C409D" w:rsidRPr="00457028" w:rsidRDefault="001C409D" w:rsidP="001C409D">
      <w:pPr>
        <w:rPr>
          <w:szCs w:val="21"/>
        </w:rPr>
      </w:pPr>
      <w:r w:rsidRPr="00457028">
        <w:rPr>
          <w:szCs w:val="21"/>
        </w:rPr>
        <w:t xml:space="preserve">J. Dhaene, B. Stassen, M. Vellekoop. Working paper. </w:t>
      </w:r>
    </w:p>
    <w:p w:rsidR="001C409D" w:rsidRPr="00457028" w:rsidRDefault="001C409D" w:rsidP="001C409D">
      <w:pPr>
        <w:rPr>
          <w:szCs w:val="21"/>
        </w:rPr>
      </w:pPr>
    </w:p>
    <w:p w:rsidR="001C409D" w:rsidRPr="00457028" w:rsidRDefault="001C409D" w:rsidP="001C409D">
      <w:pPr>
        <w:rPr>
          <w:b/>
          <w:szCs w:val="21"/>
          <w:u w:val="single"/>
        </w:rPr>
      </w:pPr>
      <w:r w:rsidRPr="00457028">
        <w:rPr>
          <w:b/>
          <w:szCs w:val="21"/>
          <w:u w:val="single"/>
        </w:rPr>
        <w:t>Exam:</w:t>
      </w:r>
    </w:p>
    <w:p w:rsidR="001C409D" w:rsidRPr="00457028" w:rsidRDefault="001C409D" w:rsidP="001C409D">
      <w:pPr>
        <w:rPr>
          <w:b/>
          <w:szCs w:val="21"/>
          <w:u w:val="single"/>
        </w:rPr>
      </w:pPr>
    </w:p>
    <w:p w:rsidR="001C409D" w:rsidRPr="00457028" w:rsidRDefault="001C409D" w:rsidP="001C409D">
      <w:pPr>
        <w:rPr>
          <w:szCs w:val="21"/>
        </w:rPr>
      </w:pPr>
      <w:r w:rsidRPr="00457028">
        <w:rPr>
          <w:szCs w:val="21"/>
        </w:rPr>
        <w:t>Written exam (open book).</w:t>
      </w:r>
    </w:p>
    <w:p w:rsidR="001C409D" w:rsidRPr="00771B0B" w:rsidRDefault="001C409D" w:rsidP="001C409D"/>
    <w:p w:rsidR="00876698" w:rsidRPr="001C409D" w:rsidRDefault="00876698"/>
    <w:sectPr w:rsidR="00876698" w:rsidRPr="001C409D" w:rsidSect="007D745D">
      <w:pgSz w:w="11906" w:h="16838"/>
      <w:pgMar w:top="1440"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2E9" w:rsidRDefault="00EB62E9" w:rsidP="00BC1E7C">
      <w:r>
        <w:separator/>
      </w:r>
    </w:p>
  </w:endnote>
  <w:endnote w:type="continuationSeparator" w:id="0">
    <w:p w:rsidR="00EB62E9" w:rsidRDefault="00EB62E9" w:rsidP="00BC1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2E9" w:rsidRDefault="00EB62E9" w:rsidP="00BC1E7C">
      <w:r>
        <w:separator/>
      </w:r>
    </w:p>
  </w:footnote>
  <w:footnote w:type="continuationSeparator" w:id="0">
    <w:p w:rsidR="00EB62E9" w:rsidRDefault="00EB62E9" w:rsidP="00BC1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A54D6"/>
    <w:multiLevelType w:val="singleLevel"/>
    <w:tmpl w:val="98D22C74"/>
    <w:lvl w:ilvl="0">
      <w:start w:val="15"/>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09D"/>
    <w:rsid w:val="001C409D"/>
    <w:rsid w:val="00271D65"/>
    <w:rsid w:val="00341F09"/>
    <w:rsid w:val="0084368A"/>
    <w:rsid w:val="00876698"/>
    <w:rsid w:val="00BC1E7C"/>
    <w:rsid w:val="00D50E81"/>
    <w:rsid w:val="00EB6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9D"/>
    <w:pPr>
      <w:widowControl w:val="0"/>
      <w:jc w:val="both"/>
    </w:pPr>
  </w:style>
  <w:style w:type="paragraph" w:styleId="1">
    <w:name w:val="heading 1"/>
    <w:basedOn w:val="a"/>
    <w:next w:val="a"/>
    <w:link w:val="1Char"/>
    <w:qFormat/>
    <w:rsid w:val="001C409D"/>
    <w:pPr>
      <w:keepNext/>
      <w:widowControl/>
      <w:jc w:val="left"/>
      <w:outlineLvl w:val="0"/>
    </w:pPr>
    <w:rPr>
      <w:rFonts w:ascii="Times New Roman" w:hAnsi="Times New Roman" w:cs="Times New Roman"/>
      <w:b/>
      <w:kern w:val="0"/>
      <w:sz w:val="20"/>
      <w:szCs w:val="20"/>
      <w:lang w:val="nl-NL"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C409D"/>
    <w:rPr>
      <w:rFonts w:ascii="Times New Roman" w:hAnsi="Times New Roman" w:cs="Times New Roman"/>
      <w:b/>
      <w:kern w:val="0"/>
      <w:sz w:val="20"/>
      <w:szCs w:val="20"/>
      <w:lang w:val="nl-NL" w:eastAsia="en-US"/>
    </w:rPr>
  </w:style>
  <w:style w:type="paragraph" w:customStyle="1" w:styleId="H2">
    <w:name w:val="H2"/>
    <w:basedOn w:val="a"/>
    <w:next w:val="a"/>
    <w:rsid w:val="001C409D"/>
    <w:pPr>
      <w:keepNext/>
      <w:widowControl/>
      <w:spacing w:before="100" w:after="100"/>
      <w:jc w:val="left"/>
      <w:outlineLvl w:val="2"/>
    </w:pPr>
    <w:rPr>
      <w:rFonts w:ascii="Times New Roman" w:hAnsi="Times New Roman" w:cs="Times New Roman"/>
      <w:b/>
      <w:snapToGrid w:val="0"/>
      <w:kern w:val="0"/>
      <w:sz w:val="36"/>
      <w:szCs w:val="20"/>
      <w:lang w:val="nl-BE" w:eastAsia="en-US"/>
    </w:rPr>
  </w:style>
  <w:style w:type="paragraph" w:customStyle="1" w:styleId="H3">
    <w:name w:val="H3"/>
    <w:basedOn w:val="a"/>
    <w:next w:val="a"/>
    <w:rsid w:val="001C409D"/>
    <w:pPr>
      <w:keepNext/>
      <w:widowControl/>
      <w:spacing w:before="100" w:after="100"/>
      <w:jc w:val="left"/>
      <w:outlineLvl w:val="3"/>
    </w:pPr>
    <w:rPr>
      <w:rFonts w:ascii="Times New Roman" w:hAnsi="Times New Roman" w:cs="Times New Roman"/>
      <w:b/>
      <w:snapToGrid w:val="0"/>
      <w:kern w:val="0"/>
      <w:sz w:val="28"/>
      <w:szCs w:val="20"/>
      <w:lang w:val="nl-BE" w:eastAsia="en-US"/>
    </w:rPr>
  </w:style>
  <w:style w:type="paragraph" w:styleId="a3">
    <w:name w:val="Body Text"/>
    <w:basedOn w:val="a"/>
    <w:link w:val="Char"/>
    <w:rsid w:val="001C409D"/>
    <w:pPr>
      <w:widowControl/>
    </w:pPr>
    <w:rPr>
      <w:rFonts w:ascii="Times New Roman" w:hAnsi="Times New Roman" w:cs="Times New Roman"/>
      <w:kern w:val="0"/>
      <w:sz w:val="20"/>
      <w:szCs w:val="20"/>
      <w:lang w:val="nl-NL" w:eastAsia="en-US"/>
    </w:rPr>
  </w:style>
  <w:style w:type="character" w:customStyle="1" w:styleId="Char">
    <w:name w:val="正文文本 Char"/>
    <w:basedOn w:val="a0"/>
    <w:link w:val="a3"/>
    <w:rsid w:val="001C409D"/>
    <w:rPr>
      <w:rFonts w:ascii="Times New Roman" w:hAnsi="Times New Roman" w:cs="Times New Roman"/>
      <w:kern w:val="0"/>
      <w:sz w:val="20"/>
      <w:szCs w:val="20"/>
      <w:lang w:val="nl-NL" w:eastAsia="en-US"/>
    </w:rPr>
  </w:style>
  <w:style w:type="paragraph" w:styleId="2">
    <w:name w:val="Body Text 2"/>
    <w:basedOn w:val="a"/>
    <w:link w:val="2Char"/>
    <w:rsid w:val="001C409D"/>
    <w:pPr>
      <w:widowControl/>
    </w:pPr>
    <w:rPr>
      <w:rFonts w:ascii="Times New Roman" w:hAnsi="Times New Roman" w:cs="Times New Roman"/>
      <w:kern w:val="0"/>
      <w:sz w:val="24"/>
      <w:szCs w:val="20"/>
      <w:lang w:val="nl-NL" w:eastAsia="en-US"/>
    </w:rPr>
  </w:style>
  <w:style w:type="character" w:customStyle="1" w:styleId="2Char">
    <w:name w:val="正文文本 2 Char"/>
    <w:basedOn w:val="a0"/>
    <w:link w:val="2"/>
    <w:rsid w:val="001C409D"/>
    <w:rPr>
      <w:rFonts w:ascii="Times New Roman" w:hAnsi="Times New Roman" w:cs="Times New Roman"/>
      <w:kern w:val="0"/>
      <w:sz w:val="24"/>
      <w:szCs w:val="20"/>
      <w:lang w:val="nl-NL" w:eastAsia="en-US"/>
    </w:rPr>
  </w:style>
  <w:style w:type="paragraph" w:styleId="a4">
    <w:name w:val="header"/>
    <w:basedOn w:val="a"/>
    <w:link w:val="Char0"/>
    <w:uiPriority w:val="99"/>
    <w:semiHidden/>
    <w:unhideWhenUsed/>
    <w:rsid w:val="00BC1E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1E7C"/>
    <w:rPr>
      <w:sz w:val="18"/>
      <w:szCs w:val="18"/>
    </w:rPr>
  </w:style>
  <w:style w:type="paragraph" w:styleId="a5">
    <w:name w:val="footer"/>
    <w:basedOn w:val="a"/>
    <w:link w:val="Char1"/>
    <w:uiPriority w:val="99"/>
    <w:semiHidden/>
    <w:unhideWhenUsed/>
    <w:rsid w:val="00BC1E7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C1E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dhaene@kuleuv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540</Words>
  <Characters>3078</Characters>
  <Application>Microsoft Office Word</Application>
  <DocSecurity>0</DocSecurity>
  <Lines>25</Lines>
  <Paragraphs>7</Paragraphs>
  <ScaleCrop>false</ScaleCrop>
  <Company>Lenovo</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linan</cp:lastModifiedBy>
  <cp:revision>2</cp:revision>
  <dcterms:created xsi:type="dcterms:W3CDTF">2016-01-06T07:24:00Z</dcterms:created>
  <dcterms:modified xsi:type="dcterms:W3CDTF">2016-01-06T07:24:00Z</dcterms:modified>
</cp:coreProperties>
</file>